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CBB2D"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 w14:paraId="7F6588A0">
      <w:pPr>
        <w:widowControl/>
        <w:jc w:val="left"/>
        <w:rPr>
          <w:rFonts w:ascii="Calibri" w:hAnsi="Calibri" w:eastAsia="黑体" w:cs="宋体"/>
          <w:kern w:val="0"/>
          <w:sz w:val="32"/>
          <w:szCs w:val="32"/>
        </w:rPr>
      </w:pPr>
    </w:p>
    <w:p w14:paraId="20C87922"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安徽省医疗服务信息社会公开内容</w:t>
      </w:r>
    </w:p>
    <w:p w14:paraId="5D2583BB">
      <w:pPr>
        <w:widowControl/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pPr w:leftFromText="180" w:rightFromText="180" w:vertAnchor="text" w:horzAnchor="page" w:tblpX="1548" w:tblpY="413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392"/>
        <w:gridCol w:w="1232"/>
        <w:gridCol w:w="1188"/>
      </w:tblGrid>
      <w:tr w14:paraId="7B06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809" w:type="dxa"/>
            <w:vAlign w:val="center"/>
          </w:tcPr>
          <w:p w14:paraId="593C826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4936" w:type="dxa"/>
            <w:gridSpan w:val="2"/>
            <w:vAlign w:val="center"/>
          </w:tcPr>
          <w:p w14:paraId="1348EB3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1232" w:type="dxa"/>
            <w:vAlign w:val="center"/>
          </w:tcPr>
          <w:p w14:paraId="7B947CE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1188" w:type="dxa"/>
            <w:vAlign w:val="center"/>
          </w:tcPr>
          <w:p w14:paraId="4AD0EBC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上期数值</w:t>
            </w:r>
          </w:p>
        </w:tc>
      </w:tr>
      <w:tr w14:paraId="63DE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66966BA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基本情况</w:t>
            </w:r>
          </w:p>
        </w:tc>
        <w:tc>
          <w:tcPr>
            <w:tcW w:w="3544" w:type="dxa"/>
            <w:vMerge w:val="restart"/>
            <w:vAlign w:val="center"/>
          </w:tcPr>
          <w:p w14:paraId="00897A9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重点（特色）专科</w:t>
            </w:r>
          </w:p>
        </w:tc>
        <w:tc>
          <w:tcPr>
            <w:tcW w:w="1392" w:type="dxa"/>
            <w:vAlign w:val="center"/>
          </w:tcPr>
          <w:p w14:paraId="1D21E9B6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1232" w:type="dxa"/>
            <w:vAlign w:val="center"/>
          </w:tcPr>
          <w:p w14:paraId="40A7EFE2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39C0DE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4FBE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639D6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07992EC4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3A83ECD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省级</w:t>
            </w:r>
          </w:p>
        </w:tc>
        <w:tc>
          <w:tcPr>
            <w:tcW w:w="1232" w:type="dxa"/>
            <w:vAlign w:val="center"/>
          </w:tcPr>
          <w:p w14:paraId="7117028C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8508B6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1F1D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1611A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71ECDD26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499B0EEF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市级</w:t>
            </w:r>
          </w:p>
        </w:tc>
        <w:tc>
          <w:tcPr>
            <w:tcW w:w="1232" w:type="dxa"/>
            <w:vAlign w:val="center"/>
          </w:tcPr>
          <w:p w14:paraId="22C01E63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04F1B4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 w14:paraId="5D2B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C9C1D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57FDDA33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4A6E3D9F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院级</w:t>
            </w:r>
          </w:p>
        </w:tc>
        <w:tc>
          <w:tcPr>
            <w:tcW w:w="1232" w:type="dxa"/>
            <w:vAlign w:val="center"/>
          </w:tcPr>
          <w:p w14:paraId="5D5C2151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294F89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 w14:paraId="6056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935F9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D99CB6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“江淮名医”人数</w:t>
            </w:r>
          </w:p>
        </w:tc>
        <w:tc>
          <w:tcPr>
            <w:tcW w:w="1232" w:type="dxa"/>
            <w:vAlign w:val="center"/>
          </w:tcPr>
          <w:p w14:paraId="51D83C5A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CCE4A16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</w:tr>
      <w:tr w14:paraId="61EC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8D533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396C097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床医比</w:t>
            </w:r>
          </w:p>
        </w:tc>
        <w:tc>
          <w:tcPr>
            <w:tcW w:w="1232" w:type="dxa"/>
            <w:vAlign w:val="center"/>
          </w:tcPr>
          <w:p w14:paraId="2EFC396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550/189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7F5608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550/189</w:t>
            </w:r>
          </w:p>
        </w:tc>
      </w:tr>
      <w:tr w14:paraId="2801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6D523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230155B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1.4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床护比</w:t>
            </w:r>
          </w:p>
        </w:tc>
        <w:tc>
          <w:tcPr>
            <w:tcW w:w="1232" w:type="dxa"/>
            <w:vAlign w:val="center"/>
          </w:tcPr>
          <w:p w14:paraId="06C4D94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550/334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F03690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550/334</w:t>
            </w:r>
          </w:p>
        </w:tc>
      </w:tr>
      <w:tr w14:paraId="6DAE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59F1FE50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医疗费用</w:t>
            </w:r>
          </w:p>
        </w:tc>
        <w:tc>
          <w:tcPr>
            <w:tcW w:w="4936" w:type="dxa"/>
            <w:gridSpan w:val="2"/>
            <w:vAlign w:val="center"/>
          </w:tcPr>
          <w:p w14:paraId="09EC0001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门诊患者人均医疗费用（元）</w:t>
            </w:r>
          </w:p>
        </w:tc>
        <w:tc>
          <w:tcPr>
            <w:tcW w:w="1232" w:type="dxa"/>
            <w:vAlign w:val="center"/>
          </w:tcPr>
          <w:p w14:paraId="36FEF0F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357.3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AAB794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352.1</w:t>
            </w:r>
          </w:p>
        </w:tc>
      </w:tr>
      <w:tr w14:paraId="3CD4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0E60F0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4A4B6EF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住院患者人均医疗费用（元）</w:t>
            </w:r>
          </w:p>
        </w:tc>
        <w:tc>
          <w:tcPr>
            <w:tcW w:w="1232" w:type="dxa"/>
            <w:vAlign w:val="center"/>
          </w:tcPr>
          <w:p w14:paraId="4D0E1D9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5338.72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A2146D8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5083.46</w:t>
            </w:r>
          </w:p>
        </w:tc>
      </w:tr>
      <w:tr w14:paraId="2DA8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92EBDE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56" w:type="dxa"/>
            <w:gridSpan w:val="4"/>
            <w:vAlign w:val="center"/>
          </w:tcPr>
          <w:p w14:paraId="3BE96D1F">
            <w:pPr>
              <w:widowControl/>
              <w:spacing w:line="240" w:lineRule="exact"/>
              <w:rPr>
                <w:rFonts w:ascii="仿宋_GB2312" w:hAnsi="仿宋" w:eastAsia="仿宋_GB2312" w:cs="宋体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</w:rPr>
              <w:t>）</w:t>
            </w:r>
          </w:p>
        </w:tc>
      </w:tr>
      <w:tr w14:paraId="711D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BCAB16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41F2051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基本医保实际报销比例（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392" w:type="dxa"/>
            <w:vAlign w:val="center"/>
          </w:tcPr>
          <w:p w14:paraId="78C1401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1232" w:type="dxa"/>
            <w:vAlign w:val="center"/>
          </w:tcPr>
          <w:p w14:paraId="2804261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80.3</w:t>
            </w:r>
          </w:p>
        </w:tc>
        <w:tc>
          <w:tcPr>
            <w:tcW w:w="1188" w:type="dxa"/>
            <w:shd w:val="clear"/>
            <w:vAlign w:val="center"/>
          </w:tcPr>
          <w:p w14:paraId="2ECF49F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80.5</w:t>
            </w:r>
          </w:p>
        </w:tc>
      </w:tr>
      <w:tr w14:paraId="6C72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72FAE6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68F76F38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375E505D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1232" w:type="dxa"/>
            <w:vAlign w:val="center"/>
          </w:tcPr>
          <w:p w14:paraId="607F1181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70.4</w:t>
            </w:r>
          </w:p>
        </w:tc>
        <w:tc>
          <w:tcPr>
            <w:tcW w:w="1188" w:type="dxa"/>
            <w:shd w:val="clear"/>
            <w:vAlign w:val="center"/>
          </w:tcPr>
          <w:p w14:paraId="241D6DB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71.5</w:t>
            </w:r>
          </w:p>
        </w:tc>
      </w:tr>
      <w:tr w14:paraId="07EC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434A8C1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医疗质量</w:t>
            </w:r>
          </w:p>
        </w:tc>
        <w:tc>
          <w:tcPr>
            <w:tcW w:w="4936" w:type="dxa"/>
            <w:gridSpan w:val="2"/>
            <w:vAlign w:val="center"/>
          </w:tcPr>
          <w:p w14:paraId="546B222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4E8A8FCF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97.5</w:t>
            </w:r>
          </w:p>
        </w:tc>
        <w:tc>
          <w:tcPr>
            <w:tcW w:w="1188" w:type="dxa"/>
            <w:shd w:val="clear"/>
            <w:vAlign w:val="center"/>
          </w:tcPr>
          <w:p w14:paraId="0B2B052D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98.1</w:t>
            </w:r>
          </w:p>
        </w:tc>
      </w:tr>
      <w:tr w14:paraId="65BD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EDACB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2E3D54C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EDEDD2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97.3</w:t>
            </w:r>
          </w:p>
        </w:tc>
        <w:tc>
          <w:tcPr>
            <w:tcW w:w="1188" w:type="dxa"/>
            <w:shd w:val="clear"/>
            <w:vAlign w:val="center"/>
          </w:tcPr>
          <w:p w14:paraId="74A322F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98.2</w:t>
            </w:r>
          </w:p>
        </w:tc>
      </w:tr>
      <w:tr w14:paraId="7045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540D0C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071FD5BC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5C31C13D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97.4</w:t>
            </w:r>
          </w:p>
        </w:tc>
        <w:tc>
          <w:tcPr>
            <w:tcW w:w="1188" w:type="dxa"/>
            <w:shd w:val="clear"/>
            <w:vAlign w:val="center"/>
          </w:tcPr>
          <w:p w14:paraId="1A78C99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98.3</w:t>
            </w:r>
          </w:p>
        </w:tc>
      </w:tr>
      <w:tr w14:paraId="478F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24F82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2ADAF134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抗菌药物使用强度（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DDDs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954417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33.26DDDs</w:t>
            </w:r>
          </w:p>
        </w:tc>
        <w:tc>
          <w:tcPr>
            <w:tcW w:w="1188" w:type="dxa"/>
            <w:shd w:val="clear"/>
            <w:vAlign w:val="center"/>
          </w:tcPr>
          <w:p w14:paraId="2FD6F62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34.6DDDs</w:t>
            </w:r>
          </w:p>
        </w:tc>
      </w:tr>
      <w:tr w14:paraId="036F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54DF4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EE671B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938FED1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28DAEEE0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7F39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805A9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F9019A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3.6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59814A8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78B4A655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22A2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4C29A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3593D12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3.7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9FA991D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0.1</w:t>
            </w:r>
          </w:p>
        </w:tc>
        <w:tc>
          <w:tcPr>
            <w:tcW w:w="1188" w:type="dxa"/>
            <w:shd w:val="clear"/>
            <w:vAlign w:val="center"/>
          </w:tcPr>
          <w:p w14:paraId="24DFC71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0.1</w:t>
            </w:r>
          </w:p>
        </w:tc>
      </w:tr>
      <w:tr w14:paraId="10BA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0D46F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73F7E34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3.8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出院患者手术占比（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5B985E9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30.2</w:t>
            </w:r>
          </w:p>
        </w:tc>
        <w:tc>
          <w:tcPr>
            <w:tcW w:w="1188" w:type="dxa"/>
            <w:shd w:val="clear"/>
            <w:vAlign w:val="center"/>
          </w:tcPr>
          <w:p w14:paraId="7A015EC0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26.3</w:t>
            </w:r>
          </w:p>
        </w:tc>
      </w:tr>
      <w:tr w14:paraId="3E36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0745EC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02EDB93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手术患者并发症发生率（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419ABF0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7C940B9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1.1</w:t>
            </w:r>
          </w:p>
        </w:tc>
      </w:tr>
      <w:tr w14:paraId="3D5E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3EC9E92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运行效率</w:t>
            </w:r>
          </w:p>
        </w:tc>
        <w:tc>
          <w:tcPr>
            <w:tcW w:w="4936" w:type="dxa"/>
            <w:gridSpan w:val="2"/>
            <w:vAlign w:val="center"/>
          </w:tcPr>
          <w:p w14:paraId="378AC79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门诊患者平均预约诊疗率（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F430E8A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3.5</w:t>
            </w:r>
          </w:p>
        </w:tc>
        <w:tc>
          <w:tcPr>
            <w:tcW w:w="1188" w:type="dxa"/>
            <w:shd w:val="clear"/>
            <w:vAlign w:val="center"/>
          </w:tcPr>
          <w:p w14:paraId="10E478E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3.5</w:t>
            </w:r>
          </w:p>
        </w:tc>
      </w:tr>
      <w:tr w14:paraId="003E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8C3FD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7DD91C46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门诊患者预约后平均等待时间（分钟）</w:t>
            </w:r>
          </w:p>
        </w:tc>
        <w:tc>
          <w:tcPr>
            <w:tcW w:w="1232" w:type="dxa"/>
            <w:vAlign w:val="center"/>
          </w:tcPr>
          <w:p w14:paraId="162504A0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188" w:type="dxa"/>
            <w:shd w:val="clear"/>
            <w:vAlign w:val="center"/>
          </w:tcPr>
          <w:p w14:paraId="68731D2C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</w:t>
            </w:r>
          </w:p>
        </w:tc>
      </w:tr>
      <w:tr w14:paraId="05D9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8C655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43B4A78F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术前待床日（天）</w:t>
            </w:r>
          </w:p>
        </w:tc>
        <w:tc>
          <w:tcPr>
            <w:tcW w:w="1392" w:type="dxa"/>
            <w:vAlign w:val="center"/>
          </w:tcPr>
          <w:p w14:paraId="5AE5870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1232" w:type="dxa"/>
            <w:shd w:val="clear"/>
            <w:vAlign w:val="center"/>
          </w:tcPr>
          <w:p w14:paraId="0FA599D0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841A9B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2.2</w:t>
            </w:r>
          </w:p>
        </w:tc>
      </w:tr>
      <w:tr w14:paraId="7935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FA4E6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1AE0E6D3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27332424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1232" w:type="dxa"/>
            <w:shd w:val="clear"/>
            <w:vAlign w:val="center"/>
          </w:tcPr>
          <w:p w14:paraId="7F60E41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8B56E2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2.2</w:t>
            </w:r>
          </w:p>
        </w:tc>
      </w:tr>
      <w:tr w14:paraId="38FE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8C4EA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6E8D0F46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0B0B67E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1232" w:type="dxa"/>
            <w:shd w:val="clear"/>
            <w:vAlign w:val="center"/>
          </w:tcPr>
          <w:p w14:paraId="7FC68B0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5BF52EC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2.2</w:t>
            </w:r>
          </w:p>
        </w:tc>
      </w:tr>
      <w:tr w14:paraId="7D73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E07C5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BC545A9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1C58BC5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97.88</w:t>
            </w:r>
          </w:p>
        </w:tc>
        <w:tc>
          <w:tcPr>
            <w:tcW w:w="1188" w:type="dxa"/>
            <w:shd w:val="clear"/>
            <w:vAlign w:val="center"/>
          </w:tcPr>
          <w:p w14:paraId="6E62098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98.16</w:t>
            </w:r>
          </w:p>
        </w:tc>
      </w:tr>
      <w:tr w14:paraId="34AE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1B149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3391E66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出院者平均住院日（天）</w:t>
            </w:r>
          </w:p>
        </w:tc>
        <w:tc>
          <w:tcPr>
            <w:tcW w:w="1232" w:type="dxa"/>
            <w:vAlign w:val="center"/>
          </w:tcPr>
          <w:p w14:paraId="63DBE2C8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7.82</w:t>
            </w:r>
          </w:p>
        </w:tc>
        <w:tc>
          <w:tcPr>
            <w:tcW w:w="1188" w:type="dxa"/>
            <w:shd w:val="clear"/>
            <w:vAlign w:val="center"/>
          </w:tcPr>
          <w:p w14:paraId="6DAC332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7.61</w:t>
            </w:r>
          </w:p>
        </w:tc>
      </w:tr>
      <w:tr w14:paraId="6BF8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3B1A2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713136C9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4.6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门诊人次</w:t>
            </w:r>
          </w:p>
        </w:tc>
        <w:tc>
          <w:tcPr>
            <w:tcW w:w="1232" w:type="dxa"/>
            <w:vAlign w:val="center"/>
          </w:tcPr>
          <w:p w14:paraId="6645B04F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70590</w:t>
            </w:r>
          </w:p>
        </w:tc>
        <w:tc>
          <w:tcPr>
            <w:tcW w:w="1188" w:type="dxa"/>
            <w:shd w:val="clear"/>
            <w:vAlign w:val="center"/>
          </w:tcPr>
          <w:p w14:paraId="1A9E2F4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71385</w:t>
            </w:r>
          </w:p>
        </w:tc>
      </w:tr>
      <w:tr w14:paraId="0776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9043B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008DFA7A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4.7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出院人次</w:t>
            </w:r>
          </w:p>
        </w:tc>
        <w:tc>
          <w:tcPr>
            <w:tcW w:w="1232" w:type="dxa"/>
            <w:vAlign w:val="center"/>
          </w:tcPr>
          <w:p w14:paraId="3A4F064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5519</w:t>
            </w:r>
          </w:p>
        </w:tc>
        <w:tc>
          <w:tcPr>
            <w:tcW w:w="1188" w:type="dxa"/>
            <w:shd w:val="clear"/>
            <w:vAlign w:val="center"/>
          </w:tcPr>
          <w:p w14:paraId="3472A04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5649</w:t>
            </w:r>
          </w:p>
        </w:tc>
      </w:tr>
      <w:tr w14:paraId="1687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 w14:paraId="5E40180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患者满意度</w:t>
            </w:r>
          </w:p>
        </w:tc>
        <w:tc>
          <w:tcPr>
            <w:tcW w:w="4936" w:type="dxa"/>
            <w:gridSpan w:val="2"/>
            <w:vAlign w:val="center"/>
          </w:tcPr>
          <w:p w14:paraId="7676E493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290CA6B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97.2</w:t>
            </w:r>
          </w:p>
        </w:tc>
        <w:tc>
          <w:tcPr>
            <w:tcW w:w="1188" w:type="dxa"/>
            <w:shd w:val="clear"/>
            <w:vAlign w:val="center"/>
          </w:tcPr>
          <w:p w14:paraId="7CE5AA2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98.1</w:t>
            </w:r>
          </w:p>
        </w:tc>
      </w:tr>
      <w:tr w14:paraId="7A6E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 w14:paraId="227CD27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服务承诺</w:t>
            </w:r>
          </w:p>
        </w:tc>
        <w:tc>
          <w:tcPr>
            <w:tcW w:w="7356" w:type="dxa"/>
            <w:gridSpan w:val="4"/>
            <w:vAlign w:val="center"/>
          </w:tcPr>
          <w:p w14:paraId="02AF7F48">
            <w:pPr>
              <w:widowControl/>
              <w:spacing w:line="24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3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</w:tbl>
    <w:p w14:paraId="65B7EA3A">
      <w:pPr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2</w:t>
      </w:r>
    </w:p>
    <w:p w14:paraId="7CF860C6">
      <w:pPr>
        <w:spacing w:line="240" w:lineRule="exact"/>
        <w:rPr>
          <w:rFonts w:ascii="黑体" w:hAnsi="宋体" w:eastAsia="黑体" w:cs="宋体"/>
          <w:kern w:val="0"/>
          <w:sz w:val="32"/>
          <w:szCs w:val="32"/>
        </w:rPr>
      </w:pPr>
    </w:p>
    <w:p w14:paraId="5A192747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医疗机构住院患者单病种平均费用</w:t>
      </w:r>
    </w:p>
    <w:p w14:paraId="19B13E68">
      <w:pPr>
        <w:spacing w:line="240" w:lineRule="exact"/>
        <w:rPr>
          <w:rFonts w:ascii="Calibri" w:hAnsi="Calibri"/>
          <w:szCs w:val="22"/>
        </w:rPr>
      </w:pPr>
    </w:p>
    <w:tbl>
      <w:tblPr>
        <w:tblStyle w:val="13"/>
        <w:tblW w:w="8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84"/>
        <w:gridCol w:w="1382"/>
        <w:gridCol w:w="2629"/>
        <w:gridCol w:w="2329"/>
      </w:tblGrid>
      <w:tr w14:paraId="56969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B3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 w14:paraId="48A26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A5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1C8C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A9B7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6630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987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 w14:paraId="18E8A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BEE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C8BE"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07BA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9896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5328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E3B7C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5370</w:t>
            </w:r>
          </w:p>
        </w:tc>
      </w:tr>
      <w:tr w14:paraId="666D4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8E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86C2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多发性脑梗死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B0E3C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833F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5347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5A68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5318</w:t>
            </w:r>
          </w:p>
        </w:tc>
      </w:tr>
      <w:tr w14:paraId="0DE0D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A4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17C5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恶性肿瘤维持性化学治疗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0C09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4237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4605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7C32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4622</w:t>
            </w:r>
          </w:p>
        </w:tc>
      </w:tr>
      <w:tr w14:paraId="6911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EA4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7C75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5269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AB47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5451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88F3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5495</w:t>
            </w:r>
          </w:p>
        </w:tc>
      </w:tr>
      <w:tr w14:paraId="68548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A35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81E8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急性化脓性扁桃体炎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F5F0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D32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1456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5900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1414</w:t>
            </w:r>
          </w:p>
        </w:tc>
      </w:tr>
      <w:tr w14:paraId="739C9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910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F0376"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肾结石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DB19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经皮肾镜术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663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9856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2F3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9819</w:t>
            </w:r>
          </w:p>
        </w:tc>
      </w:tr>
      <w:tr w14:paraId="14375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381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054C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手术后恶性肿瘤化学治疗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3F95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20D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3501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56D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3564</w:t>
            </w:r>
          </w:p>
        </w:tc>
      </w:tr>
      <w:tr w14:paraId="2435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9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2096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F7F1F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A94B8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5183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F95D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5294</w:t>
            </w:r>
          </w:p>
        </w:tc>
      </w:tr>
      <w:tr w14:paraId="67B96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716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2ABC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2型糖尿病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6B5E6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0314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3716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2A8F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3743</w:t>
            </w:r>
          </w:p>
        </w:tc>
      </w:tr>
      <w:tr w14:paraId="7B122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68C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CF76"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F3B6"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698F">
            <w:pPr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3847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7907">
            <w:pPr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3816</w:t>
            </w:r>
          </w:p>
        </w:tc>
      </w:tr>
      <w:tr w14:paraId="2CEB7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40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13CB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支气管肺炎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6DD9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6CA25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1856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840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1815</w:t>
            </w:r>
          </w:p>
        </w:tc>
      </w:tr>
      <w:tr w14:paraId="042FB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E1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28BC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结肠息肉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577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内镜切除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E22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4318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26B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4360</w:t>
            </w:r>
          </w:p>
        </w:tc>
      </w:tr>
      <w:tr w14:paraId="458C0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3AC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1B52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慢性稳定型心绞痛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BC736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7BE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5846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5769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5881</w:t>
            </w:r>
          </w:p>
        </w:tc>
      </w:tr>
      <w:tr w14:paraId="02FA5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B13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F7D8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722F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E2B7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5129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BE27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5149</w:t>
            </w:r>
          </w:p>
        </w:tc>
      </w:tr>
      <w:tr w14:paraId="05ADE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DD0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04B75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输尿管结石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E871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F02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7504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1BE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7538</w:t>
            </w:r>
          </w:p>
        </w:tc>
      </w:tr>
      <w:tr w14:paraId="16B3D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D7B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E682F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肺部感染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6153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D85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4306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02E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4316</w:t>
            </w:r>
          </w:p>
        </w:tc>
      </w:tr>
      <w:tr w14:paraId="6B9E5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02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C621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前列腺增生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805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49FB0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9405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849D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9479</w:t>
            </w:r>
          </w:p>
        </w:tc>
      </w:tr>
      <w:tr w14:paraId="028F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7BF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573A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胃息肉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A250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6171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7134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A31F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7083</w:t>
            </w:r>
          </w:p>
        </w:tc>
      </w:tr>
      <w:tr w14:paraId="2F6D6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E34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19B9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1C7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36D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4150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44B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4168</w:t>
            </w:r>
          </w:p>
        </w:tc>
      </w:tr>
      <w:tr w14:paraId="5525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B30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6D87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子宫平滑肌瘤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A875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EC5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8155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DDC3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8176</w:t>
            </w:r>
          </w:p>
        </w:tc>
      </w:tr>
    </w:tbl>
    <w:p w14:paraId="09119C2B">
      <w:pPr>
        <w:rPr>
          <w:rFonts w:ascii="Calibri" w:hAnsi="Calibri"/>
          <w:szCs w:val="22"/>
        </w:rPr>
      </w:pPr>
    </w:p>
    <w:tbl>
      <w:tblPr>
        <w:tblStyle w:val="13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12"/>
        <w:gridCol w:w="1342"/>
        <w:gridCol w:w="2628"/>
        <w:gridCol w:w="2476"/>
      </w:tblGrid>
      <w:tr w14:paraId="591CA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70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 w14:paraId="44B4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5DC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AC13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DF00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5CF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CD3B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 w14:paraId="44E6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4BD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87BC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B1010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B0F3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5493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D53A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5582</w:t>
            </w:r>
          </w:p>
        </w:tc>
      </w:tr>
      <w:tr w14:paraId="2E002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62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C757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多发性脑梗死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33A7F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240B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5426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851B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5468</w:t>
            </w:r>
          </w:p>
        </w:tc>
      </w:tr>
      <w:tr w14:paraId="5498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D85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A8A2">
            <w:pPr>
              <w:jc w:val="both"/>
              <w:rPr>
                <w:rFonts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慢性心力衰竭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C17DE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7B64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5156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AB14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5192</w:t>
            </w:r>
          </w:p>
        </w:tc>
      </w:tr>
      <w:tr w14:paraId="72887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64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444A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慢性稳定型心绞痛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342E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D7E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5534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11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5516</w:t>
            </w:r>
          </w:p>
        </w:tc>
      </w:tr>
      <w:tr w14:paraId="5D3C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713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DF9E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324AF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DA23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5188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7E81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5167</w:t>
            </w:r>
          </w:p>
        </w:tc>
      </w:tr>
    </w:tbl>
    <w:p w14:paraId="64E6E109">
      <w:pPr>
        <w:rPr>
          <w:rFonts w:ascii="Calibri" w:hAnsi="Calibri" w:eastAsia="黑体" w:cs="宋体"/>
          <w:kern w:val="0"/>
          <w:sz w:val="32"/>
          <w:szCs w:val="32"/>
        </w:rPr>
      </w:pPr>
    </w:p>
    <w:p w14:paraId="5C6C0369">
      <w:pPr>
        <w:rPr>
          <w:rFonts w:ascii="Calibri" w:hAnsi="Calibri" w:eastAsia="黑体" w:cs="宋体"/>
          <w:kern w:val="0"/>
          <w:sz w:val="32"/>
          <w:szCs w:val="32"/>
        </w:rPr>
      </w:pPr>
    </w:p>
    <w:p w14:paraId="315D16C2">
      <w:pPr>
        <w:rPr>
          <w:rFonts w:ascii="Calibri" w:hAnsi="Calibri" w:eastAsia="黑体" w:cs="宋体"/>
          <w:kern w:val="0"/>
          <w:sz w:val="32"/>
          <w:szCs w:val="32"/>
        </w:rPr>
      </w:pPr>
    </w:p>
    <w:p w14:paraId="65A79B5E">
      <w:pPr>
        <w:pageBreakBefore/>
        <w:spacing w:line="520" w:lineRule="exact"/>
        <w:rPr>
          <w:rFonts w:ascii="黑体" w:hAnsi="宋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3</w:t>
      </w:r>
    </w:p>
    <w:p w14:paraId="1AD509E3">
      <w:pPr>
        <w:widowControl/>
        <w:spacing w:line="4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 w14:paraId="7EFBB80C"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医疗机构服务承诺内容</w:t>
      </w:r>
    </w:p>
    <w:p w14:paraId="45AC6F51">
      <w:pPr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 w14:paraId="63DE8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C79D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AA2D1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承诺服务内容</w:t>
            </w:r>
          </w:p>
        </w:tc>
      </w:tr>
      <w:tr w14:paraId="484A2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0CC5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A577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强化服务意识，坚持依法办事</w:t>
            </w:r>
          </w:p>
        </w:tc>
      </w:tr>
      <w:tr w14:paraId="2503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2352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767D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改进医疗服务，方便群众就医</w:t>
            </w:r>
          </w:p>
        </w:tc>
      </w:tr>
      <w:tr w14:paraId="51D9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AA33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328F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规范诊疗行为，保证医疗安全</w:t>
            </w:r>
          </w:p>
        </w:tc>
      </w:tr>
      <w:tr w14:paraId="44A6F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7805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8941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规范收费标准，办事公开透明</w:t>
            </w:r>
          </w:p>
        </w:tc>
      </w:tr>
      <w:tr w14:paraId="2E70A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BA00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13F1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落实惠民措施，扩展服务范围</w:t>
            </w:r>
          </w:p>
        </w:tc>
      </w:tr>
      <w:tr w14:paraId="45157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180C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C84B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落实医改政策，让群众得实惠</w:t>
            </w:r>
          </w:p>
        </w:tc>
      </w:tr>
      <w:tr w14:paraId="51398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3632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7AA2"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落实医德医风规范，严肃查处违规行为</w:t>
            </w:r>
          </w:p>
        </w:tc>
      </w:tr>
      <w:tr w14:paraId="6B59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AC8D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9E38F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 w14:paraId="5EF9C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0178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74E24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 w14:paraId="4E1E4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143B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21F45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</w:tbl>
    <w:p w14:paraId="5701BD84">
      <w:pPr>
        <w:jc w:val="both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FA785"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3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 w14:paraId="3209FADC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CC4DF">
    <w:pPr>
      <w:pStyle w:val="9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  <w:lang w:val="zh-CN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3NmRhZDFhYmFhYjdmODhjYjdjYThkN2E3NDBmYTIifQ=="/>
  </w:docVars>
  <w:rsids>
    <w:rsidRoot w:val="008B1A29"/>
    <w:rsid w:val="000232AA"/>
    <w:rsid w:val="000839A4"/>
    <w:rsid w:val="003B6306"/>
    <w:rsid w:val="004A24D2"/>
    <w:rsid w:val="00596B3B"/>
    <w:rsid w:val="005F70F0"/>
    <w:rsid w:val="006178B0"/>
    <w:rsid w:val="007E7B55"/>
    <w:rsid w:val="008B1A29"/>
    <w:rsid w:val="00970824"/>
    <w:rsid w:val="00AD1D6E"/>
    <w:rsid w:val="00B27FB0"/>
    <w:rsid w:val="00EB1880"/>
    <w:rsid w:val="00EF4565"/>
    <w:rsid w:val="0A6477C3"/>
    <w:rsid w:val="117A3506"/>
    <w:rsid w:val="16B9038D"/>
    <w:rsid w:val="1C984209"/>
    <w:rsid w:val="2A145065"/>
    <w:rsid w:val="2A622888"/>
    <w:rsid w:val="2C3C1A21"/>
    <w:rsid w:val="32CD4A1D"/>
    <w:rsid w:val="40E72E11"/>
    <w:rsid w:val="55C6142B"/>
    <w:rsid w:val="55C83CC2"/>
    <w:rsid w:val="58024A7E"/>
    <w:rsid w:val="5B0F0CA8"/>
    <w:rsid w:val="65082BF2"/>
    <w:rsid w:val="720C06B7"/>
    <w:rsid w:val="74590B0D"/>
    <w:rsid w:val="77B447A9"/>
    <w:rsid w:val="78A51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link w:val="21"/>
    <w:qFormat/>
    <w:uiPriority w:val="99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99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标题 1 Char"/>
    <w:basedOn w:val="15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5"/>
    <w:link w:val="3"/>
    <w:qFormat/>
    <w:locked/>
    <w:uiPriority w:val="99"/>
    <w:rPr>
      <w:rFonts w:ascii="Cambria" w:hAnsi="Cambria" w:eastAsia="宋体" w:cs="宋体"/>
      <w:b/>
      <w:bCs/>
      <w:sz w:val="28"/>
      <w:szCs w:val="28"/>
    </w:rPr>
  </w:style>
  <w:style w:type="character" w:customStyle="1" w:styleId="21">
    <w:name w:val="正文文本 Char"/>
    <w:basedOn w:val="15"/>
    <w:link w:val="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2">
    <w:name w:val="正文文本缩进 Char"/>
    <w:basedOn w:val="15"/>
    <w:link w:val="6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3">
    <w:name w:val="日期 Char"/>
    <w:basedOn w:val="15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basedOn w:val="15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5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Char"/>
    <w:basedOn w:val="15"/>
    <w:link w:val="12"/>
    <w:qFormat/>
    <w:locked/>
    <w:uiPriority w:val="99"/>
    <w:rPr>
      <w:rFonts w:ascii="Times New Roman" w:hAnsi="Times New Roman" w:eastAsia="方正小标宋简体" w:cs="Times New Roman"/>
      <w:bCs/>
      <w:sz w:val="36"/>
      <w:szCs w:val="36"/>
    </w:rPr>
  </w:style>
  <w:style w:type="paragraph" w:customStyle="1" w:styleId="28">
    <w:name w:val="Char"/>
    <w:basedOn w:val="1"/>
    <w:qFormat/>
    <w:uiPriority w:val="99"/>
  </w:style>
  <w:style w:type="paragraph" w:customStyle="1" w:styleId="29">
    <w:name w:val="cn-main-title"/>
    <w:basedOn w:val="1"/>
    <w:qFormat/>
    <w:uiPriority w:val="99"/>
    <w:pPr>
      <w:spacing w:after="240"/>
      <w:jc w:val="center"/>
    </w:pPr>
    <w:rPr>
      <w:color w:val="333333"/>
      <w:kern w:val="0"/>
      <w:sz w:val="33"/>
      <w:szCs w:val="33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Body text|1"/>
    <w:basedOn w:val="1"/>
    <w:qFormat/>
    <w:uiPriority w:val="99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4">
    <w:name w:val="sigblank17陶仪声"/>
    <w:basedOn w:val="15"/>
    <w:qFormat/>
    <w:uiPriority w:val="99"/>
    <w:rPr>
      <w:rFonts w:cs="Times New Roman"/>
    </w:rPr>
  </w:style>
  <w:style w:type="table" w:customStyle="1" w:styleId="35">
    <w:name w:val="网格型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Table Paragraph"/>
    <w:basedOn w:val="1"/>
    <w:qFormat/>
    <w:uiPriority w:val="99"/>
    <w:pPr>
      <w:jc w:val="center"/>
    </w:pPr>
    <w:rPr>
      <w:rFonts w:ascii="Calibri" w:hAnsi="Calibri"/>
    </w:rPr>
  </w:style>
  <w:style w:type="character" w:customStyle="1" w:styleId="37">
    <w:name w:val="15"/>
    <w:basedOn w:val="15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38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39">
    <w:name w:val="cjk"/>
    <w:basedOn w:val="1"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40">
    <w:name w:val="16"/>
    <w:qFormat/>
    <w:uiPriority w:val="99"/>
    <w:rPr>
      <w:rFonts w:ascii="Calibri" w:hAnsi="Calibri" w:eastAsia="宋体"/>
    </w:rPr>
  </w:style>
  <w:style w:type="paragraph" w:customStyle="1" w:styleId="41">
    <w:name w:val="正文2"/>
    <w:basedOn w:val="1"/>
    <w:qFormat/>
    <w:uiPriority w:val="99"/>
  </w:style>
  <w:style w:type="character" w:customStyle="1" w:styleId="42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656</Words>
  <Characters>965</Characters>
  <Lines>16</Lines>
  <Paragraphs>4</Paragraphs>
  <TotalTime>113</TotalTime>
  <ScaleCrop>false</ScaleCrop>
  <LinksUpToDate>false</LinksUpToDate>
  <CharactersWithSpaces>989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2022-05-06T09:04:00Z</dcterms:created>
  <dc:creator>文印室</dc:creator>
  <cp:lastModifiedBy>ever</cp:lastModifiedBy>
  <cp:lastPrinted>2025-07-08T09:01:49Z</cp:lastPrinted>
  <dcterms:modified xsi:type="dcterms:W3CDTF">2025-07-08T09:25:27Z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ADE81217CE2745F79F34537D1AC285FA</vt:lpwstr>
  </property>
  <property fmtid="{D5CDD505-2E9C-101B-9397-08002B2CF9AE}" pid="4" name="KSOTemplateDocerSaveRecord">
    <vt:lpwstr>eyJoZGlkIjoiYTVmYzZlMmI5NDNiOGUyNDA5ZmU4MDZiMGM4ZGZjMGIiLCJ1c2VySWQiOiI1MTA1OTg1MzMifQ==</vt:lpwstr>
  </property>
</Properties>
</file>